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Proposal to the Board of Directors</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Institutional Affiliation</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 xml:space="preserve">Proposal to </w:t>
      </w:r>
      <w:r>
        <w:rPr>
          <w:rFonts w:ascii="Times New Roman" w:cs="Times New Roman" w:hAnsi="Times New Roman"/>
          <w:sz w:val="24"/>
          <w:szCs w:val="24"/>
        </w:rPr>
        <w:t xml:space="preserve">the </w:t>
      </w:r>
      <w:bookmarkStart w:id="0" w:name="_GoBack"/>
      <w:bookmarkEnd w:id="0"/>
      <w:r>
        <w:rPr>
          <w:rFonts w:ascii="Times New Roman" w:cs="Times New Roman" w:hAnsi="Times New Roman"/>
          <w:sz w:val="24"/>
          <w:szCs w:val="24"/>
        </w:rPr>
        <w:t>Board of Directors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Newcomers and their families arriving in Ontario come with a lot of expectation and determination to change their lives as many of them possess the required quality of skills needed for the development of the economy. Because of this, it is imperative that our company become the refuge for these families to assist in providing the best ways these families can integrate into Ontario. The skills they possess are of an excellent result to the economy and development of our company. Many of these families do not deserve the kind of treatment and embarrassment they get as they come to settle in their new land.</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According to Kaushik (2018), the settlement of the newcomers in the new lands is typically associated with complexity and obstacle. Although some of these newcomers have credible and quality skills that could be utilized to bring more benefits to our country, their settlement is still multifaceted. Settling is one of the things of importance when it comes to the basic needs of the newcomers. Kaushik (2018) argues that settlement is of the essence; however, another problem becomes integration. As Kaushik (2018) explains integration deals with how the newcomers can have the means and ways to access the essential basic needs. Such needs include; language training for adults, knowledge of the rights and responsibilities, school registration for the newcomers' children and housing. Moreover, opening a way to offer the newcomers a way to integrate into their new places gives the opportunity to contribute and relate with others without barriers. Providing these basic needs for the newcomers paves the way to providing these families hope and a chance to settle and learn how to cope with the differences in the new places.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Stol, Khanlou, Nguyen,</w:t>
      </w:r>
      <w:r>
        <w:rPr>
          <w:rFonts w:ascii="Times New Roman" w:cs="Times New Roman" w:hAnsi="Times New Roman"/>
          <w:sz w:val="24"/>
          <w:szCs w:val="24"/>
        </w:rPr>
        <w:t xml:space="preserve"> </w:t>
      </w:r>
      <w:r>
        <w:rPr>
          <w:rFonts w:ascii="Times New Roman" w:cs="Times New Roman" w:hAnsi="Times New Roman"/>
          <w:sz w:val="24"/>
          <w:szCs w:val="24"/>
        </w:rPr>
        <w:t xml:space="preserve">Tran, Omer, Yip, and Carter </w:t>
      </w:r>
      <w:r>
        <w:rPr>
          <w:rFonts w:ascii="Times New Roman" w:cs="Times New Roman" w:hAnsi="Times New Roman"/>
          <w:sz w:val="24"/>
          <w:szCs w:val="24"/>
        </w:rPr>
        <w:t xml:space="preserve">(2016) also illustrates the issue of diversity and how this affects the mental well-being of the families new to Canada. As health is of significant concern to our country, responding positively to contribute to the lives of the </w:t>
      </w:r>
      <w:r>
        <w:rPr>
          <w:rFonts w:ascii="Times New Roman" w:cs="Times New Roman" w:hAnsi="Times New Roman"/>
          <w:sz w:val="24"/>
          <w:szCs w:val="24"/>
        </w:rPr>
        <w:t>newcomers inevitably reduces the problems and challenges these families may experience because they cannot integrate and relate well in the diversif</w:t>
      </w:r>
      <w:r>
        <w:rPr>
          <w:rFonts w:ascii="Times New Roman" w:cs="Times New Roman" w:hAnsi="Times New Roman"/>
          <w:sz w:val="24"/>
          <w:szCs w:val="24"/>
        </w:rPr>
        <w:t>ied community. According to Stol et al.</w:t>
      </w:r>
      <w:r>
        <w:rPr>
          <w:rFonts w:ascii="Times New Roman" w:cs="Times New Roman" w:hAnsi="Times New Roman"/>
          <w:sz w:val="24"/>
          <w:szCs w:val="24"/>
        </w:rPr>
        <w:t>(2016) taking a probable action such as giving the newcomers the opportunity to settle and connect well is a way to promote co-existence among different groups of people, thus, encouraging equity. For instance, the Canadian Council for Refugees (CCR) is committed to protecting the rights and the needs of the refugees in Canada. As a way to contribute to the newcomers, the company should focus on the means to secure settlement and integration for the newcomers and their families.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I am confident that funding towards the realization of settlement and integration will reduce the challenges Ontario has concerning dealing with newcomers. This is because the newcomers particularly the </w:t>
      </w:r>
      <w:r>
        <w:rPr>
          <w:rFonts w:ascii="Times New Roman" w:cs="Times New Roman" w:hAnsi="Times New Roman"/>
          <w:sz w:val="24"/>
          <w:szCs w:val="24"/>
        </w:rPr>
        <w:t>skilled</w:t>
      </w:r>
      <w:r>
        <w:rPr>
          <w:rFonts w:ascii="Times New Roman" w:cs="Times New Roman" w:hAnsi="Times New Roman"/>
          <w:sz w:val="24"/>
          <w:szCs w:val="24"/>
        </w:rPr>
        <w:t xml:space="preserve"> have a positive contribution to the economy when they get the proper settlement and relate to the new land without a barrier.    </w:t>
      </w:r>
      <w:r>
        <w:rPr>
          <w:rFonts w:ascii="Times New Roman" w:cs="Times New Roman" w:hAnsi="Times New Roman"/>
          <w:sz w:val="24"/>
          <w:szCs w:val="24"/>
        </w:rPr>
        <w:t xml:space="preserve"> </w:t>
      </w: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Kaushik, V., &amp; Drolet, J. (2018). Settlement and Integration Needs of Skilled Immigrants in Canada. </w:t>
      </w:r>
      <w:r>
        <w:rPr>
          <w:rFonts w:ascii="Times New Roman" w:cs="Times New Roman" w:hAnsi="Times New Roman"/>
          <w:i/>
          <w:iCs/>
          <w:sz w:val="24"/>
          <w:szCs w:val="24"/>
          <w:shd w:val="clear" w:color="auto" w:fill="ffffff"/>
        </w:rPr>
        <w:t>Social Sciences</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7</w:t>
      </w:r>
      <w:r>
        <w:rPr>
          <w:rFonts w:ascii="Times New Roman" w:cs="Times New Roman" w:hAnsi="Times New Roman"/>
          <w:sz w:val="24"/>
          <w:szCs w:val="24"/>
          <w:shd w:val="clear" w:color="auto" w:fill="ffffff"/>
        </w:rPr>
        <w:t xml:space="preserve">(5), 76. </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shd w:val="clear" w:color="auto" w:fill="ffffff"/>
        </w:rPr>
        <w:t>Stol, J., Khanlou, N., Nguyen, H., Tran, V., Omer, S., Yip, A., ... &amp; Carter, C. (2015). </w:t>
      </w:r>
      <w:r>
        <w:rPr>
          <w:rFonts w:ascii="Times New Roman" w:cs="Times New Roman" w:hAnsi="Times New Roman"/>
          <w:i/>
          <w:iCs/>
          <w:sz w:val="24"/>
          <w:szCs w:val="24"/>
          <w:shd w:val="clear" w:color="auto" w:fill="ffffff"/>
        </w:rPr>
        <w:t>Taking action on health equity and diversity: Responding to the mental health needs of children, youth and families new to Canada</w:t>
      </w:r>
      <w:r>
        <w:rPr>
          <w:rFonts w:ascii="Times New Roman" w:cs="Times New Roman" w:hAnsi="Times New Roman"/>
          <w:sz w:val="24"/>
          <w:szCs w:val="24"/>
          <w:shd w:val="clear" w:color="auto" w:fill="ffffff"/>
        </w:rPr>
        <w:t xml:space="preserve">. Ottawa, ON, Canada: Ontario Centre of Excellence for Child and Youth Mental Health. Retrieved from </w:t>
      </w:r>
      <w:r>
        <w:rPr/>
        <w:fldChar w:fldCharType="begin"/>
      </w:r>
      <w:r>
        <w:instrText xml:space="preserve"> HYPERLINK "https://www.researchgate.net/publication/296705388_Taking_action_on_healthy_equity_and_diversity_responding_to_the_mental_health_needs_of_children_youth_and_families_new_to_Canada/download" </w:instrText>
      </w:r>
      <w:r>
        <w:rPr/>
        <w:fldChar w:fldCharType="separate"/>
      </w:r>
      <w:r>
        <w:rPr>
          <w:rStyle w:val="style85"/>
          <w:rFonts w:ascii="Times New Roman" w:cs="Times New Roman" w:hAnsi="Times New Roman"/>
          <w:color w:val="auto"/>
          <w:sz w:val="24"/>
          <w:szCs w:val="24"/>
          <w:u w:val="none"/>
        </w:rPr>
        <w:t>https://www.researchgate.net/publication/296705388_Taking_action_on_healthy_equity_and_diversity_responding_to_the_mental_health_needs_of_children_youth_and_families_new_to_Canada/download</w:t>
      </w:r>
      <w:r>
        <w:rPr/>
        <w:fldChar w:fldCharType="end"/>
      </w:r>
    </w:p>
    <w:p>
      <w:pPr>
        <w:pStyle w:val="style0"/>
        <w:spacing w:after="0" w:lineRule="auto" w:line="48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PROPOSAL</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Running head: PROPOSAL</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paragraph" w:styleId="style1">
    <w:name w:val="heading 1"/>
    <w:basedOn w:val="style0"/>
    <w:next w:val="style0"/>
    <w:link w:val="style4097"/>
    <w:qFormat/>
    <w:uiPriority w:val="9"/>
    <w:pPr>
      <w:keepNext/>
      <w:keepLines/>
      <w:spacing w:before="480" w:after="0"/>
      <w:outlineLvl w:val="0"/>
    </w:pPr>
    <w:rPr>
      <w:rFonts w:ascii="Cambria" w:cs="宋体" w:eastAsia="宋体" w:hAnsi="Cambria"/>
      <w:b/>
      <w:bCs/>
      <w:color w:val="365f91"/>
      <w:sz w:val="28"/>
      <w:szCs w:val="28"/>
    </w:rPr>
  </w:style>
  <w:style w:type="paragraph" w:styleId="style2">
    <w:name w:val="heading 2"/>
    <w:basedOn w:val="style0"/>
    <w:next w:val="style0"/>
    <w:link w:val="style4098"/>
    <w:qFormat/>
    <w:uiPriority w:val="9"/>
    <w:pPr>
      <w:keepNext/>
      <w:keepLines/>
      <w:spacing w:before="200" w:after="0"/>
      <w:outlineLvl w:val="1"/>
    </w:pPr>
    <w:rPr>
      <w:rFonts w:ascii="Cambria" w:cs="宋体" w:eastAsia="宋体" w:hAnsi="Cambria"/>
      <w:b/>
      <w:bCs/>
      <w:color w:val="4f81bd"/>
      <w:sz w:val="26"/>
      <w:szCs w:val="26"/>
    </w:rPr>
  </w:style>
  <w:style w:type="paragraph" w:styleId="style3">
    <w:name w:val="heading 3"/>
    <w:basedOn w:val="style0"/>
    <w:next w:val="style0"/>
    <w:link w:val="style4099"/>
    <w:qFormat/>
    <w:uiPriority w:val="9"/>
    <w:pPr>
      <w:keepNext/>
      <w:keepLines/>
      <w:spacing w:before="200" w:after="0"/>
      <w:outlineLvl w:val="2"/>
    </w:pPr>
    <w:rPr>
      <w:rFonts w:ascii="Cambria" w:cs="宋体" w:eastAsia="宋体" w:hAnsi="Cambria"/>
      <w:b/>
      <w:bCs/>
      <w:color w:val="4f81bd"/>
    </w:rPr>
  </w:style>
  <w:style w:type="paragraph" w:styleId="style4">
    <w:name w:val="heading 4"/>
    <w:basedOn w:val="style0"/>
    <w:next w:val="style0"/>
    <w:link w:val="style4100"/>
    <w:qFormat/>
    <w:uiPriority w:val="9"/>
    <w:pPr>
      <w:keepNext/>
      <w:keepLines/>
      <w:spacing w:before="200" w:after="0"/>
      <w:outlineLvl w:val="3"/>
    </w:pPr>
    <w:rPr>
      <w:rFonts w:ascii="Cambria" w:cs="宋体" w:eastAsia="宋体" w:hAnsi="Cambria"/>
      <w:b/>
      <w:bCs/>
      <w:i/>
      <w:iCs/>
      <w:color w:val="4f81bd"/>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1 Char_c1d5a51b-ddc9-49dd-a69b-85ec9ff487ad"/>
    <w:basedOn w:val="style65"/>
    <w:next w:val="style4097"/>
    <w:link w:val="style1"/>
    <w:uiPriority w:val="9"/>
    <w:rPr>
      <w:rFonts w:ascii="Cambria" w:cs="宋体" w:eastAsia="宋体" w:hAnsi="Cambria"/>
      <w:b/>
      <w:bCs/>
      <w:color w:val="365f91"/>
      <w:sz w:val="28"/>
      <w:szCs w:val="28"/>
    </w:rPr>
  </w:style>
  <w:style w:type="character" w:customStyle="1" w:styleId="style4098">
    <w:name w:val="Heading 2 Char_04808d7b-2272-4c4c-8ee1-a56865a73c70"/>
    <w:basedOn w:val="style65"/>
    <w:next w:val="style4098"/>
    <w:link w:val="style2"/>
    <w:uiPriority w:val="9"/>
    <w:rPr>
      <w:rFonts w:ascii="Cambria" w:cs="宋体" w:eastAsia="宋体" w:hAnsi="Cambria"/>
      <w:b/>
      <w:bCs/>
      <w:color w:val="4f81bd"/>
      <w:sz w:val="26"/>
      <w:szCs w:val="26"/>
    </w:rPr>
  </w:style>
  <w:style w:type="character" w:customStyle="1" w:styleId="style4099">
    <w:name w:val="Heading 3 Char_000fd03d-24a0-4cc3-bb7b-6118aad72bc7"/>
    <w:basedOn w:val="style65"/>
    <w:next w:val="style4099"/>
    <w:link w:val="style3"/>
    <w:uiPriority w:val="9"/>
    <w:rPr>
      <w:rFonts w:ascii="Cambria" w:cs="宋体" w:eastAsia="宋体" w:hAnsi="Cambria"/>
      <w:b/>
      <w:bCs/>
      <w:color w:val="4f81bd"/>
    </w:rPr>
  </w:style>
  <w:style w:type="character" w:customStyle="1" w:styleId="style4100">
    <w:name w:val="Heading 4 Char_1a97485a-d1d4-4f8e-8197-578eba4af9c3"/>
    <w:basedOn w:val="style65"/>
    <w:next w:val="style4100"/>
    <w:link w:val="style4"/>
    <w:uiPriority w:val="9"/>
    <w:rPr>
      <w:rFonts w:ascii="Cambria" w:cs="宋体" w:eastAsia="宋体" w:hAnsi="Cambria"/>
      <w:b/>
      <w:bCs/>
      <w:i/>
      <w:iCs/>
      <w:color w:val="4f81bd"/>
    </w:rPr>
  </w:style>
  <w:style w:type="paragraph" w:styleId="style157">
    <w:name w:val="No Spacing"/>
    <w:next w:val="style157"/>
    <w:qFormat/>
    <w:uiPriority w:val="1"/>
    <w:pPr>
      <w:spacing w:after="0" w:lineRule="auto" w:line="240"/>
    </w:pPr>
    <w:rPr/>
  </w:style>
  <w:style w:type="paragraph" w:styleId="style179">
    <w:name w:val="List Paragraph"/>
    <w:basedOn w:val="style0"/>
    <w:next w:val="style179"/>
    <w:qFormat/>
    <w:uiPriority w:val="34"/>
    <w:pPr>
      <w:spacing w:after="160" w:lineRule="auto" w:line="259"/>
      <w:ind w:left="720"/>
      <w:contextualSpacing/>
    </w:pPr>
    <w:rPr/>
  </w:style>
  <w:style w:type="paragraph" w:styleId="style31">
    <w:name w:val="header"/>
    <w:basedOn w:val="style0"/>
    <w:next w:val="style31"/>
    <w:link w:val="style4101"/>
    <w:uiPriority w:val="99"/>
    <w:pPr>
      <w:tabs>
        <w:tab w:val="center" w:leader="none" w:pos="4680"/>
        <w:tab w:val="right" w:leader="none" w:pos="9360"/>
      </w:tabs>
      <w:spacing w:after="0" w:lineRule="auto" w:line="240"/>
    </w:pPr>
    <w:rPr/>
  </w:style>
  <w:style w:type="character" w:customStyle="1" w:styleId="style4101">
    <w:name w:val="Header Char_6f91a500-9ba9-42ad-b5de-953ab0a93239"/>
    <w:basedOn w:val="style65"/>
    <w:next w:val="style4101"/>
    <w:link w:val="style31"/>
    <w:uiPriority w:val="99"/>
  </w:style>
  <w:style w:type="paragraph" w:styleId="style32">
    <w:name w:val="footer"/>
    <w:basedOn w:val="style0"/>
    <w:next w:val="style32"/>
    <w:link w:val="style4102"/>
    <w:uiPriority w:val="99"/>
    <w:pPr>
      <w:tabs>
        <w:tab w:val="center" w:leader="none" w:pos="4680"/>
        <w:tab w:val="right" w:leader="none" w:pos="9360"/>
      </w:tabs>
      <w:spacing w:after="0" w:lineRule="auto" w:line="240"/>
    </w:pPr>
    <w:rPr/>
  </w:style>
  <w:style w:type="character" w:customStyle="1" w:styleId="style4102">
    <w:name w:val="Footer Char_2cfd99aa-5854-4b1f-862a-70964141d88f"/>
    <w:basedOn w:val="style65"/>
    <w:next w:val="style4102"/>
    <w:link w:val="style32"/>
    <w:uiPriority w:val="99"/>
  </w:style>
  <w:style w:type="character" w:styleId="style85">
    <w:name w:val="Hyperlink"/>
    <w:basedOn w:val="style65"/>
    <w:next w:val="style85"/>
    <w:uiPriority w:val="99"/>
    <w:rPr>
      <w:color w:val="0000ff"/>
      <w:u w:val="single"/>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584</Words>
  <Pages>4</Pages>
  <Characters>3241</Characters>
  <Application>WPS Office</Application>
  <DocSecurity>0</DocSecurity>
  <Paragraphs>48</Paragraphs>
  <ScaleCrop>false</ScaleCrop>
  <LinksUpToDate>false</LinksUpToDate>
  <CharactersWithSpaces>3820</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2019-03-15T12:21:38Z</dcterms:created>
  <dc:creator>Hp</dc:creator>
  <lastModifiedBy>JKM-LX1</lastModifiedBy>
  <dcterms:modified xsi:type="dcterms:W3CDTF">2019-03-15T12:21:39Z</dcterms:modified>
  <revision>1</revision>
</coreProperties>
</file>

<file path=docProps/custom.xml><?xml version="1.0" encoding="utf-8"?>
<Properties xmlns="http://schemas.openxmlformats.org/officeDocument/2006/custom-properties" xmlns:vt="http://schemas.openxmlformats.org/officeDocument/2006/docPropsVTypes"/>
</file>